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ascii="仿宋" w:hAnsi="仿宋" w:eastAsia="仿宋" w:cs="仿宋"/>
          <w:i w:val="0"/>
          <w:iCs w:val="0"/>
          <w:caps w:val="0"/>
          <w:color w:val="333333"/>
          <w:spacing w:val="0"/>
          <w:sz w:val="28"/>
          <w:szCs w:val="28"/>
        </w:rPr>
      </w:pPr>
      <w:r>
        <w:rPr>
          <w:rFonts w:ascii="方正小标宋简体" w:hAnsi="方正小标宋简体" w:eastAsia="方正小标宋简体" w:cs="方正小标宋简体"/>
          <w:i w:val="0"/>
          <w:iCs w:val="0"/>
          <w:caps w:val="0"/>
          <w:color w:val="333333"/>
          <w:spacing w:val="0"/>
          <w:sz w:val="44"/>
          <w:szCs w:val="44"/>
          <w:shd w:val="clear" w:fill="FFFFFF"/>
        </w:rPr>
        <w:t>2022年度岳阳市信访局部门整体支出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8"/>
          <w:szCs w:val="28"/>
        </w:rPr>
      </w:pPr>
      <w:r>
        <w:rPr>
          <w:rFonts w:hint="eastAsia" w:ascii="方正小标宋简体" w:hAnsi="方正小标宋简体" w:eastAsia="方正小标宋简体" w:cs="方正小标宋简体"/>
          <w:i w:val="0"/>
          <w:iCs w:val="0"/>
          <w:caps w:val="0"/>
          <w:color w:val="333333"/>
          <w:spacing w:val="0"/>
          <w:sz w:val="44"/>
          <w:szCs w:val="44"/>
          <w:shd w:val="clear" w:fill="FFFFFF"/>
        </w:rPr>
        <w:t>绩效自评报告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jc w:val="both"/>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仿宋" w:hAnsi="仿宋" w:eastAsia="仿宋" w:cs="仿宋"/>
          <w:i w:val="0"/>
          <w:iCs w:val="0"/>
          <w:caps w:val="0"/>
          <w:color w:val="333333"/>
          <w:spacing w:val="0"/>
          <w:sz w:val="28"/>
          <w:szCs w:val="28"/>
        </w:rPr>
      </w:pPr>
      <w:r>
        <w:rPr>
          <w:rFonts w:ascii="黑体" w:hAnsi="宋体" w:eastAsia="黑体" w:cs="黑体"/>
          <w:i w:val="0"/>
          <w:iCs w:val="0"/>
          <w:caps w:val="0"/>
          <w:color w:val="333333"/>
          <w:spacing w:val="0"/>
          <w:sz w:val="32"/>
          <w:szCs w:val="32"/>
          <w:shd w:val="clear" w:fill="FFFFFF"/>
        </w:rPr>
        <w:t>一、部门基本情况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32"/>
          <w:szCs w:val="32"/>
          <w:shd w:val="clear" w:fill="FFFFFF"/>
        </w:rPr>
        <w:t>（一）职能职责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（1）负责处理人民群众给市委、市政府及其领导同志的来信，接待处理群众来访，受理处理网络信访，为领导同志接待上访群众做好组织服务工作。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（2）承办中央、省和市委、市政府交办的信访事项，向县市区、市直部门和中央、省驻岳单位交办信访事项，督促检查处理落实情况。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（3）综合、反映人民群众在信访中提出的重要意见、建议和问题，开展调查研究，为市委、市政府提供信访信息。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（4）协同有关部门处理跨地区、跨部门的重大信访问题，协调处理群众到市赴省进京上访，协调全市各级党政机关的信访工作。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（5）研究、起草有关信访工作的政策规定;开展信访工作宣传和调研；指导全市信访工作业务，总结推广信访工作经验，提出加强和改进信访工作的意见。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（6）掌握全市信访工作队伍建设情况，提出加强信访队伍建设的措施，对信访工作中失职、渎职行为提出处理建议，组织信访干部培训，指导信访部门办公自动化建设。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（7）承办市委、市政府交办的其他事项。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（二）机构设置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default" w:ascii="宋体" w:hAnsi="宋体" w:eastAsia="仿宋" w:cs="宋体"/>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32"/>
          <w:szCs w:val="32"/>
          <w:shd w:val="clear" w:fill="FFFFFF"/>
        </w:rPr>
        <w:t>根据市委编办核定:市信访局内设科室9个，内设科室分别是办公室、接访一科、接访二科、网络信访</w:t>
      </w:r>
      <w:r>
        <w:rPr>
          <w:rFonts w:hint="eastAsia" w:ascii="仿宋" w:hAnsi="仿宋" w:eastAsia="仿宋" w:cs="仿宋"/>
          <w:i w:val="0"/>
          <w:iCs w:val="0"/>
          <w:caps w:val="0"/>
          <w:color w:val="333333"/>
          <w:spacing w:val="0"/>
          <w:sz w:val="32"/>
          <w:szCs w:val="32"/>
          <w:shd w:val="clear" w:fill="FFFFFF"/>
          <w:lang w:eastAsia="zh-CN"/>
        </w:rPr>
        <w:t>和办信</w:t>
      </w:r>
      <w:r>
        <w:rPr>
          <w:rFonts w:hint="eastAsia" w:ascii="仿宋" w:hAnsi="仿宋" w:eastAsia="仿宋" w:cs="仿宋"/>
          <w:i w:val="0"/>
          <w:iCs w:val="0"/>
          <w:caps w:val="0"/>
          <w:color w:val="333333"/>
          <w:spacing w:val="0"/>
          <w:sz w:val="32"/>
          <w:szCs w:val="32"/>
          <w:shd w:val="clear" w:fill="FFFFFF"/>
        </w:rPr>
        <w:t>科、协调督查科、政策法规科、综合调研科</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驻京维稳科（承担岳阳市驻京维稳劝返工作职责）</w:t>
      </w:r>
      <w:r>
        <w:rPr>
          <w:rFonts w:hint="eastAsia" w:ascii="仿宋" w:hAnsi="仿宋" w:eastAsia="仿宋" w:cs="仿宋"/>
          <w:i w:val="0"/>
          <w:iCs w:val="0"/>
          <w:caps w:val="0"/>
          <w:color w:val="333333"/>
          <w:spacing w:val="0"/>
          <w:sz w:val="32"/>
          <w:szCs w:val="32"/>
          <w:shd w:val="clear" w:fill="FFFFFF"/>
          <w:lang w:eastAsia="zh-CN"/>
        </w:rPr>
        <w:t>、驻长劝访科</w:t>
      </w:r>
      <w:r>
        <w:rPr>
          <w:rFonts w:hint="eastAsia" w:ascii="仿宋" w:hAnsi="仿宋" w:eastAsia="仿宋" w:cs="仿宋"/>
          <w:i w:val="0"/>
          <w:iCs w:val="0"/>
          <w:caps w:val="0"/>
          <w:color w:val="333333"/>
          <w:spacing w:val="0"/>
          <w:sz w:val="32"/>
          <w:szCs w:val="32"/>
          <w:shd w:val="clear" w:fill="FFFFFF"/>
          <w:lang w:val="en-US" w:eastAsia="zh-CN"/>
        </w:rPr>
        <w:t>;二级机构1个（财务未单列），市人民来访接待中心。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本年度我单位在职人数为25人，退休人数12人。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ascii="Calibri" w:hAnsi="Calibri" w:cs="Calibri"/>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二、一般公共预算支出情况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（一）基本支出情况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本年度总支出为1499.09万元，其中基本支出为925.04万元，占支出总额的61.71%。我单位本年度基本支出中人员经费支出582.53万元，占比62.97%；公用经费支出342.51万元，占比37.03%。主要是用于开支我单位职工基本工资福利、对个人和家庭的补助、商品和服务支出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（二）项目支出情况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本年度总支出为1499.09万元，其中项目支出为574.04万元，占支出总额的38.29%。我单位本年度项目支出中财政拨款收入类项目支出经费为124.64万元，占比21.71%；其他资金类项目支出经费为449.40万元，占比78.29%。主要是特护期工作经费、信访专项救助资金等项目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default" w:ascii="Calibri" w:hAnsi="Calibri" w:cs="Calibri"/>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三、政府性基金预算支出情况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我单位本年度无政府性基金安排的预算收入与支出，所以无政府性基金预算支出情况表。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default" w:ascii="Calibri" w:hAnsi="Calibri" w:cs="Calibri"/>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四、国有资本经营预算支出情况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我单位本年度无国有资本经营安排的预算收入与支出，所以无国有资本经营预算支出情况表。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default" w:ascii="Calibri" w:hAnsi="Calibri" w:cs="Calibri"/>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五、社会保险基金预算支出情况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我单位本年度无社会保险基金预算安排的收入与支出，所以无社会保险基金预算支出情况表。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仿宋" w:hAnsi="仿宋" w:eastAsia="仿宋" w:cs="仿宋"/>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六、部门整体支出绩效情况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本年度在市委、市政府的坚强领导下，深入学习贯彻习近平新时代中国特色社会主义思想、党的二十大和习近平总书记考察湖南、考察岳阳重要讲话指示精神，深入践行习近平总书记关于加强和改进人民信访工作的重要批示指示精神，扎实推进领导班子政治建设、思想建设、组织建设、作风建设、纪律建设、制度建设和能力建设，高质量推动各项工作落地落实。在办党组的高度重视下，安排专人专班负责单位本年度预算绩效全面开展。我单位成立了预算绩效领导工作小组，分管财务领导任组长。按照要求，认真组织开展我单位的“四本预算”绩效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（一）收入支出预算安排情况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本年度我单位年初预算收入安排为561.57万元，与上年相比增加14.48%，主要是本年度财政足额安排职工伙食补助费等人员经费开支。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本年度我单位年初预算支出安排为561.57万元，与上年相比增加14.48%，主要是本年度财政足额安排职工伙食补助费等人员经费开支。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仿宋" w:hAnsi="仿宋" w:eastAsia="仿宋" w:cs="仿宋"/>
          <w:i w:val="0"/>
          <w:iCs w:val="0"/>
          <w:caps w:val="0"/>
          <w:color w:val="333333"/>
          <w:spacing w:val="0"/>
          <w:sz w:val="28"/>
          <w:szCs w:val="28"/>
        </w:rPr>
      </w:pPr>
      <w:r>
        <w:rPr>
          <w:rFonts w:hint="eastAsia" w:ascii="楷体" w:hAnsi="楷体" w:eastAsia="楷体" w:cs="楷体"/>
          <w:i w:val="0"/>
          <w:iCs w:val="0"/>
          <w:caps w:val="0"/>
          <w:color w:val="333333"/>
          <w:spacing w:val="0"/>
          <w:sz w:val="32"/>
          <w:szCs w:val="32"/>
          <w:shd w:val="clear" w:fill="FFFFFF"/>
        </w:rPr>
        <w:t>（二）收入支出预算执行情况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本年度我单位收入与支出预算执行均为100%，与去年相比保持一致。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32"/>
          <w:szCs w:val="32"/>
          <w:shd w:val="clear" w:fill="FFFFFF"/>
        </w:rPr>
        <w:t>1．收入支出与预算对比分析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我单位一般公共服务支出预算安排494.06万元，决算支出数为1403.98万元，主要是财政追加拨付人员经费差额部分以及垫付信访救助资金等；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我单位公共安全支出预算安排0万元，决算支出数为54万元，主要是财政追加拨付驻京工作经费；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我单位社会保障和就业支出预算安排27.41万元，决算支出数为27.41万元，无较大差额；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我单位卫生健康支出预算安排19.54万元，决算支出数为12.69万元，差额部分为财政代扣代缴部分；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我单位城乡社区支出预算安排0万元，决算支出数为1万元，主要是财政追加拨付垃圾分类工作经费；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我单位住房保障支出预算安排20.56万元，决算支出数为0万元，主要是财政代付住房公积金单位部分；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32"/>
          <w:szCs w:val="32"/>
          <w:shd w:val="clear" w:fill="FFFFFF"/>
        </w:rPr>
        <w:t>2．收入支出结构分析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本年度我单位收入总额为1461.79万元，与上年相比增加56.37%，主要是本年度收到财政拨付“彭冲案”信访救助垫付资金390万元等。其中财政拨款收入880.48万元，占比60.23%，其他收入581.31万元，占比39.77%.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本年度我单位支出总额为1499.09万元，与上年相比增加48.48%，主要是本年度支付财政拨付“彭冲案”信访救助垫付资金390万元等。其中财政拨款收入支出880.48万元，占比58.73%，其他收入618.61万元，占比41.27%.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32"/>
          <w:szCs w:val="32"/>
          <w:shd w:val="clear" w:fill="FFFFFF"/>
        </w:rPr>
        <w:t>3．支出按经济分类科目分析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（1）“三公”经费支出情况：本年度我单位使用财政拨款收入支付的三公经费总额为4.39万元，与去年相比，减少56.98%，主要是我单位部分三公经费使用其他资金支出，未纳入统计口径。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（2）会议费支出情况：本年度我单位会议费支出总额为5.83万元，与去年相比减少53.35%，主要是压减一般性支出。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（3）培训费支出情况：本年度我单位培训费支出总额为0.2万元，与去年相比减少93.29%，主要是部分培训费使用其他资金支出，未纳入统计口径。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（4）其他对单位影响较大的支出情况：本年度我单位代收代付彭冲案垫付资金390万元。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32"/>
          <w:szCs w:val="32"/>
          <w:shd w:val="clear" w:fill="FFFFFF"/>
        </w:rPr>
        <w:t>4.财政拨款收入、支出分析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本年度我单位财政拨款收入及支出总额均为880.48万元，无财政拨款结转。其中基本支出755.84万元，主要是职工工资福利及公用经费开支等；项目支出124.64万元，主要是特护期维稳、办公楼维修等。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32"/>
          <w:szCs w:val="32"/>
          <w:shd w:val="clear" w:fill="FFFFFF"/>
        </w:rPr>
        <w:t>5.非财政拨款收入分析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本年度我单位非财政拨款收入为581.31万元，主要是彭冲案垫付资金390万元、各县市区驻京维稳经费180万元，税务退个税手续费等11.31万元。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（三）年末结转和结余情况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我单位本年度无年末结转结余。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（四）其他需要说明的情况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年初预算下达时，项目支出包含了伙食补助专项、工会专项、物业补贴专项、信访岗位津贴专项以及人民来访接待中心工作专项、驻京工作经费专项等，由于结合实际开展发生经济业务进行分析，该专项开支的均为我单位职工工资福利类支出以及日常公用经费类支出，因此在本年度归口统计时纳入了基本支出进行统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default" w:ascii="Calibri" w:hAnsi="Calibri" w:cs="Calibri"/>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七、存在的问题及原因分析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1、系统使用不熟练。</w:t>
      </w:r>
      <w:r>
        <w:rPr>
          <w:rFonts w:hint="eastAsia" w:ascii="仿宋" w:hAnsi="仿宋" w:eastAsia="仿宋" w:cs="仿宋"/>
          <w:i w:val="0"/>
          <w:iCs w:val="0"/>
          <w:caps w:val="0"/>
          <w:color w:val="333333"/>
          <w:spacing w:val="0"/>
          <w:sz w:val="32"/>
          <w:szCs w:val="32"/>
          <w:shd w:val="clear" w:fill="FFFFFF"/>
        </w:rPr>
        <w:t>近段时间以来，按照财政要求，我单位使用预算一体化系统开始进行预算的编制与执行，由于系统新上线，人员业务熟练度不够，系统稳定性不够，后台公式变化性较大，导致我单位财务工作开展不够主动，部分业务开展比较被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2、预算编制不精准。</w:t>
      </w:r>
      <w:r>
        <w:rPr>
          <w:rFonts w:hint="eastAsia" w:ascii="仿宋" w:hAnsi="仿宋" w:eastAsia="仿宋" w:cs="仿宋"/>
          <w:i w:val="0"/>
          <w:iCs w:val="0"/>
          <w:caps w:val="0"/>
          <w:color w:val="333333"/>
          <w:spacing w:val="0"/>
          <w:sz w:val="32"/>
          <w:szCs w:val="32"/>
          <w:shd w:val="clear" w:fill="FFFFFF"/>
        </w:rPr>
        <w:t>由于我单位除了财政拨款资金外，有一部分其他资金的收支。年初进行预算编制以及年中使用预算一体化系统执行相关操作时，由于年初部门经济科目编制不够完善，导致预算执行不够一致。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3、专项管理工作不系统。</w:t>
      </w:r>
      <w:r>
        <w:rPr>
          <w:rFonts w:hint="eastAsia" w:ascii="仿宋" w:hAnsi="仿宋" w:eastAsia="仿宋" w:cs="仿宋"/>
          <w:i w:val="0"/>
          <w:iCs w:val="0"/>
          <w:caps w:val="0"/>
          <w:color w:val="333333"/>
          <w:spacing w:val="0"/>
          <w:sz w:val="32"/>
          <w:szCs w:val="32"/>
          <w:shd w:val="clear" w:fill="FFFFFF"/>
        </w:rPr>
        <w:t>我单位由于</w:t>
      </w:r>
      <w:r>
        <w:rPr>
          <w:rFonts w:hint="eastAsia" w:ascii="仿宋" w:hAnsi="仿宋" w:eastAsia="仿宋" w:cs="仿宋"/>
          <w:i w:val="0"/>
          <w:iCs w:val="0"/>
          <w:caps w:val="0"/>
          <w:color w:val="333333"/>
          <w:spacing w:val="0"/>
          <w:sz w:val="32"/>
          <w:szCs w:val="32"/>
          <w:shd w:val="clear" w:fill="FFFFFF"/>
          <w:lang w:eastAsia="zh-CN"/>
        </w:rPr>
        <w:t>人事</w:t>
      </w:r>
      <w:r>
        <w:rPr>
          <w:rFonts w:hint="eastAsia" w:ascii="仿宋" w:hAnsi="仿宋" w:eastAsia="仿宋" w:cs="仿宋"/>
          <w:i w:val="0"/>
          <w:iCs w:val="0"/>
          <w:caps w:val="0"/>
          <w:color w:val="333333"/>
          <w:spacing w:val="0"/>
          <w:sz w:val="32"/>
          <w:szCs w:val="32"/>
          <w:shd w:val="clear" w:fill="FFFFFF"/>
        </w:rPr>
        <w:t>、财务、资产等均归属于办公室统一管理，因此我单位财务收支管理、行政事业单位资产管理工作、政府采购管理工作等均由办公室集中管理，没有具体系统的专职人员进行管理，导致部分政策接收不够及时、政策理解不够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仿宋" w:hAnsi="仿宋" w:eastAsia="仿宋" w:cs="仿宋"/>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八、下一步改进措施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1、加强学习。</w:t>
      </w:r>
      <w:r>
        <w:rPr>
          <w:rFonts w:hint="eastAsia" w:ascii="仿宋" w:hAnsi="仿宋" w:eastAsia="仿宋" w:cs="仿宋"/>
          <w:i w:val="0"/>
          <w:iCs w:val="0"/>
          <w:caps w:val="0"/>
          <w:color w:val="333333"/>
          <w:spacing w:val="0"/>
          <w:sz w:val="32"/>
          <w:szCs w:val="32"/>
          <w:shd w:val="clear" w:fill="FFFFFF"/>
        </w:rPr>
        <w:t>积极同财政相关业务科室对接，及时掌握预算一体化系统后台公式的升级更新，及时了解最新的财政相关政策；积极与同级部门财务人员沟通，及时学习系统相关操作执行功能。及时同人社、税务、机关事务局和银行等对接沟通，保障部门经济科目使用更为准确。经济业务报销更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sz w:val="32"/>
          <w:szCs w:val="32"/>
          <w:shd w:val="clear" w:fill="FFFFFF"/>
        </w:rPr>
        <w:t>2、主动对接。</w:t>
      </w:r>
      <w:r>
        <w:rPr>
          <w:rFonts w:hint="eastAsia" w:ascii="仿宋" w:hAnsi="仿宋" w:eastAsia="仿宋" w:cs="仿宋"/>
          <w:i w:val="0"/>
          <w:iCs w:val="0"/>
          <w:caps w:val="0"/>
          <w:color w:val="333333"/>
          <w:spacing w:val="0"/>
          <w:sz w:val="32"/>
          <w:szCs w:val="32"/>
          <w:shd w:val="clear" w:fill="FFFFFF"/>
        </w:rPr>
        <w:t>及时参加财政等部门举办的各项业务能力提升培训活动，打好基本功。主动订阅相关财政业务书籍、公众号，通过不同的途径加强自</w:t>
      </w:r>
      <w:bookmarkStart w:id="0" w:name="_GoBack"/>
      <w:bookmarkEnd w:id="0"/>
      <w:r>
        <w:rPr>
          <w:rFonts w:hint="eastAsia" w:ascii="仿宋" w:hAnsi="仿宋" w:eastAsia="仿宋" w:cs="仿宋"/>
          <w:i w:val="0"/>
          <w:iCs w:val="0"/>
          <w:caps w:val="0"/>
          <w:color w:val="333333"/>
          <w:spacing w:val="0"/>
          <w:sz w:val="32"/>
          <w:szCs w:val="32"/>
          <w:shd w:val="clear" w:fill="FFFFFF"/>
        </w:rPr>
        <w:t>身业务能力提升。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仿宋" w:hAnsi="仿宋" w:eastAsia="仿宋" w:cs="仿宋"/>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九、部门整体支出绩效自评结果拟应用和公开情况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我单位按照要求及时主动将相关资料公开在部门网址及政府门户网站专栏中。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仿宋" w:hAnsi="仿宋" w:eastAsia="仿宋" w:cs="仿宋"/>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十、其他需要说明的情况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textAlignment w:val="center"/>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无</w:t>
      </w:r>
    </w:p>
    <w:p>
      <w:pPr>
        <w:spacing w:afterLines="50" w:line="600" w:lineRule="exact"/>
        <w:rPr>
          <w:rFonts w:hint="eastAsia" w:ascii="黑体" w:hAnsi="黑体" w:eastAsia="黑体" w:cs="黑体"/>
          <w:color w:val="auto"/>
          <w:sz w:val="32"/>
          <w:szCs w:val="32"/>
        </w:rPr>
      </w:pPr>
    </w:p>
    <w:p>
      <w:pPr>
        <w:spacing w:afterLines="50" w:line="600" w:lineRule="exact"/>
        <w:rPr>
          <w:rFonts w:hint="eastAsia" w:ascii="黑体" w:hAnsi="黑体" w:eastAsia="黑体" w:cs="黑体"/>
          <w:color w:val="auto"/>
          <w:sz w:val="32"/>
          <w:szCs w:val="32"/>
        </w:rPr>
      </w:pPr>
    </w:p>
    <w:p>
      <w:pPr>
        <w:spacing w:afterLines="50" w:line="600" w:lineRule="exact"/>
        <w:rPr>
          <w:rFonts w:hint="eastAsia" w:ascii="黑体" w:hAnsi="黑体" w:eastAsia="黑体" w:cs="黑体"/>
          <w:color w:val="auto"/>
          <w:sz w:val="32"/>
          <w:szCs w:val="32"/>
        </w:rPr>
      </w:pPr>
    </w:p>
    <w:p>
      <w:pPr>
        <w:spacing w:afterLines="50" w:line="600" w:lineRule="exact"/>
        <w:rPr>
          <w:rFonts w:hint="eastAsia" w:ascii="黑体" w:hAnsi="黑体" w:eastAsia="黑体" w:cs="黑体"/>
          <w:color w:val="auto"/>
          <w:sz w:val="32"/>
          <w:szCs w:val="32"/>
        </w:rPr>
      </w:pPr>
    </w:p>
    <w:p>
      <w:pPr>
        <w:spacing w:afterLines="50" w:line="600" w:lineRule="exact"/>
        <w:rPr>
          <w:rFonts w:hint="eastAsia" w:ascii="黑体" w:hAnsi="黑体" w:eastAsia="黑体" w:cs="黑体"/>
          <w:color w:val="auto"/>
          <w:sz w:val="32"/>
          <w:szCs w:val="32"/>
        </w:rPr>
      </w:pPr>
    </w:p>
    <w:p>
      <w:pPr>
        <w:spacing w:afterLines="50" w:line="600" w:lineRule="exact"/>
        <w:rPr>
          <w:rFonts w:hint="eastAsia" w:ascii="黑体" w:hAnsi="黑体" w:eastAsia="黑体" w:cs="黑体"/>
          <w:color w:val="auto"/>
          <w:sz w:val="32"/>
          <w:szCs w:val="32"/>
        </w:rPr>
      </w:pPr>
    </w:p>
    <w:p>
      <w:pPr>
        <w:spacing w:afterLines="50" w:line="600" w:lineRule="exact"/>
        <w:rPr>
          <w:rFonts w:hint="eastAsia" w:ascii="黑体" w:hAnsi="黑体" w:eastAsia="黑体" w:cs="黑体"/>
          <w:color w:val="auto"/>
          <w:sz w:val="32"/>
          <w:szCs w:val="32"/>
        </w:rPr>
      </w:pPr>
    </w:p>
    <w:p>
      <w:pPr>
        <w:spacing w:afterLines="50" w:line="600" w:lineRule="exact"/>
        <w:rPr>
          <w:rFonts w:hint="eastAsia" w:ascii="黑体" w:hAnsi="黑体" w:eastAsia="黑体" w:cs="黑体"/>
          <w:color w:val="auto"/>
          <w:sz w:val="32"/>
          <w:szCs w:val="32"/>
        </w:rPr>
      </w:pPr>
    </w:p>
    <w:p>
      <w:pPr>
        <w:spacing w:afterLines="50" w:line="600" w:lineRule="exact"/>
        <w:rPr>
          <w:rFonts w:hint="eastAsia" w:ascii="黑体" w:hAnsi="黑体" w:eastAsia="黑体" w:cs="黑体"/>
          <w:color w:val="auto"/>
          <w:sz w:val="32"/>
          <w:szCs w:val="32"/>
        </w:rPr>
      </w:pPr>
    </w:p>
    <w:p>
      <w:pPr>
        <w:spacing w:afterLines="50" w:line="60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spacing w:afterLines="50" w:line="600" w:lineRule="exact"/>
        <w:jc w:val="center"/>
        <w:rPr>
          <w:rFonts w:ascii="方正小标宋简体" w:hAnsi="方正小标宋简体" w:eastAsia="方正小标宋简体" w:cs="方正小标宋简体"/>
          <w:color w:val="auto"/>
          <w:sz w:val="24"/>
        </w:rPr>
      </w:pPr>
      <w:r>
        <w:rPr>
          <w:rFonts w:hint="eastAsia" w:ascii="方正小标宋简体" w:hAnsi="方正小标宋简体" w:eastAsia="方正小标宋简体" w:cs="方正小标宋简体"/>
          <w:color w:val="auto"/>
          <w:sz w:val="36"/>
          <w:szCs w:val="36"/>
        </w:rPr>
        <w:t>2022年度部门整体支出绩效评价基础数据表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2022年实际在职人数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29</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25　</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92.59%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2021年决算数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2022年预算数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2022年决算数</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10.29</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29.10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4.39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9.09</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17.10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3.91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9.09</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17.10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3.91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1.20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0.48</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256.10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574.04</w:t>
            </w:r>
          </w:p>
        </w:tc>
      </w:tr>
      <w:tr>
        <w:tblPrEx>
          <w:tblCellMar>
            <w:top w:w="0" w:type="dxa"/>
            <w:left w:w="108" w:type="dxa"/>
            <w:bottom w:w="0" w:type="dxa"/>
            <w:right w:w="108" w:type="dxa"/>
          </w:tblCellMar>
        </w:tblPrEx>
        <w:trPr>
          <w:trHeight w:val="525" w:hRule="atLeast"/>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1、工会经费补助</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10.50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18"/>
                <w:szCs w:val="20"/>
              </w:rPr>
              <w:t>　0（决算时列支在基本支出）</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2、伙食补助</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r>
              <w:rPr>
                <w:rFonts w:hint="eastAsia" w:ascii="仿宋_GB2312" w:hAnsi="仿宋_GB2312" w:eastAsia="仿宋_GB2312" w:cs="仿宋_GB2312"/>
                <w:color w:val="auto"/>
                <w:sz w:val="18"/>
                <w:szCs w:val="20"/>
              </w:rPr>
              <w:t>　0（决算时列支在基本支出）</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3、 物业服务补贴</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12.60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18"/>
                <w:szCs w:val="20"/>
              </w:rPr>
              <w:t>　0（决算时列支在基本支出）</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4、预安排绩效考核奖和平安岳阳建设奖</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70.00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18"/>
                <w:szCs w:val="20"/>
              </w:rPr>
              <w:t>　0（决算时列支在基本支出）</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5、 两会工作经费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35.00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18"/>
                <w:szCs w:val="20"/>
              </w:rPr>
              <w:t>　0（决算时列支在基本支出）</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ind w:firstLine="300" w:firstLineChars="15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6、 市人民来访接待中心办公运行经费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27.00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18"/>
                <w:szCs w:val="20"/>
              </w:rPr>
              <w:t>　0（决算时列支在基本支出）</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7、信访津贴</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7.05</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18"/>
                <w:szCs w:val="20"/>
              </w:rPr>
              <w:t>　0（决算时列支在基本支出）</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ind w:firstLine="300" w:firstLineChars="15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8、 信访专项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22.05</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18"/>
                <w:szCs w:val="20"/>
              </w:rPr>
              <w:t>　0（决算时列支在基本支出）</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ind w:firstLine="300" w:firstLineChars="15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9、 驻京工作经费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57.90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18"/>
                <w:szCs w:val="20"/>
              </w:rPr>
              <w:t>　0（决算时列支在基本支出）</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ind w:firstLine="300" w:firstLineChars="15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10、特护期维稳工作经费（财政的代编专项）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80.41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ind w:firstLine="300" w:firstLineChars="15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11、办公楼维修项目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56.44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ind w:firstLine="300" w:firstLineChars="15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12、智慧信访（财政代编专项）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47.19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ind w:firstLine="300" w:firstLineChars="15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13、信访救助资金</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390.00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486.07</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61.07</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342.51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226.66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17.78</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166.79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31.36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63.01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15.46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4.15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324.00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284.72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305.47</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925.04</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楼堂馆所控制情况</w:t>
            </w:r>
            <w:r>
              <w:rPr>
                <w:rFonts w:hint="eastAsia" w:ascii="仿宋_GB2312" w:hAnsi="仿宋_GB2312" w:eastAsia="仿宋_GB2312" w:cs="仿宋_GB2312"/>
                <w:color w:val="auto"/>
                <w:sz w:val="20"/>
                <w:szCs w:val="20"/>
              </w:rPr>
              <w:br w:type="textWrapping"/>
            </w:r>
            <w:r>
              <w:rPr>
                <w:rFonts w:hint="eastAsia" w:ascii="仿宋_GB2312" w:hAnsi="仿宋_GB2312" w:eastAsia="仿宋_GB2312" w:cs="仿宋_GB2312"/>
                <w:color w:val="auto"/>
                <w:sz w:val="20"/>
                <w:szCs w:val="20"/>
              </w:rPr>
              <w:t>（2022年完工项目）</w:t>
            </w: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color w:val="auto"/>
                <w:sz w:val="20"/>
                <w:szCs w:val="20"/>
              </w:rPr>
            </w:pPr>
            <w:r>
              <w:rPr>
                <w:rFonts w:hint="eastAsia" w:ascii="仿宋_GB2312" w:hAnsi="仿宋_GB2312" w:eastAsia="仿宋_GB2312" w:cs="仿宋_GB2312"/>
                <w:bCs/>
                <w:color w:val="auto"/>
                <w:sz w:val="20"/>
                <w:szCs w:val="20"/>
              </w:rPr>
              <w:t>批复规模</w:t>
            </w:r>
            <w:r>
              <w:rPr>
                <w:rFonts w:hint="eastAsia" w:ascii="仿宋_GB2312" w:hAnsi="仿宋_GB2312" w:eastAsia="仿宋_GB2312" w:cs="仿宋_GB2312"/>
                <w:bCs/>
                <w:color w:val="auto"/>
                <w:sz w:val="20"/>
                <w:szCs w:val="20"/>
              </w:rPr>
              <w:br w:type="textWrapping"/>
            </w:r>
            <w:r>
              <w:rPr>
                <w:rFonts w:hint="eastAsia" w:ascii="仿宋_GB2312" w:hAnsi="仿宋_GB2312" w:eastAsia="仿宋_GB2312" w:cs="仿宋_GB2312"/>
                <w:bCs/>
                <w:color w:val="auto"/>
                <w:sz w:val="20"/>
                <w:szCs w:val="20"/>
              </w:rPr>
              <w:t>（㎡）</w:t>
            </w:r>
          </w:p>
        </w:tc>
        <w:tc>
          <w:tcPr>
            <w:tcW w:w="84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color w:val="auto"/>
                <w:sz w:val="20"/>
                <w:szCs w:val="20"/>
              </w:rPr>
            </w:pPr>
            <w:r>
              <w:rPr>
                <w:rFonts w:hint="eastAsia" w:ascii="仿宋_GB2312" w:hAnsi="仿宋_GB2312" w:eastAsia="仿宋_GB2312" w:cs="仿宋_GB2312"/>
                <w:bCs/>
                <w:color w:val="auto"/>
                <w:sz w:val="20"/>
                <w:szCs w:val="20"/>
              </w:rPr>
              <w:t>实际规模（㎡）</w:t>
            </w:r>
          </w:p>
        </w:tc>
        <w:tc>
          <w:tcPr>
            <w:tcW w:w="112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color w:val="auto"/>
                <w:sz w:val="20"/>
                <w:szCs w:val="20"/>
              </w:rPr>
            </w:pPr>
            <w:r>
              <w:rPr>
                <w:rFonts w:hint="eastAsia" w:ascii="仿宋_GB2312" w:hAnsi="仿宋_GB2312" w:eastAsia="仿宋_GB2312" w:cs="仿宋_GB2312"/>
                <w:bCs/>
                <w:color w:val="auto"/>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color w:val="auto"/>
                <w:sz w:val="20"/>
                <w:szCs w:val="20"/>
              </w:rPr>
            </w:pPr>
            <w:r>
              <w:rPr>
                <w:rFonts w:hint="eastAsia" w:ascii="仿宋_GB2312" w:hAnsi="仿宋_GB2312" w:eastAsia="仿宋_GB2312" w:cs="仿宋_GB2312"/>
                <w:bCs/>
                <w:color w:val="auto"/>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color w:val="auto"/>
                <w:sz w:val="20"/>
                <w:szCs w:val="20"/>
              </w:rPr>
            </w:pPr>
            <w:r>
              <w:rPr>
                <w:rFonts w:hint="eastAsia" w:ascii="仿宋_GB2312" w:hAnsi="仿宋_GB2312" w:eastAsia="仿宋_GB2312" w:cs="仿宋_GB2312"/>
                <w:bCs/>
                <w:color w:val="auto"/>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color w:val="auto"/>
                <w:sz w:val="20"/>
                <w:szCs w:val="20"/>
              </w:rPr>
            </w:pPr>
            <w:r>
              <w:rPr>
                <w:rFonts w:hint="eastAsia" w:ascii="仿宋_GB2312" w:hAnsi="仿宋_GB2312" w:eastAsia="仿宋_GB2312" w:cs="仿宋_GB2312"/>
                <w:bCs/>
                <w:color w:val="auto"/>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84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112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1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108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96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按照财政要求，压减一般性支出　</w:t>
            </w:r>
          </w:p>
        </w:tc>
      </w:tr>
    </w:tbl>
    <w:p>
      <w:pPr>
        <w:widowControl/>
        <w:spacing w:line="400" w:lineRule="exact"/>
        <w:jc w:val="left"/>
        <w:rPr>
          <w:rFonts w:ascii="Times New Roman" w:hAnsi="Times New Roman" w:eastAsia="仿宋_GB2312"/>
          <w:color w:val="auto"/>
          <w:sz w:val="22"/>
        </w:rPr>
      </w:pPr>
      <w:r>
        <w:rPr>
          <w:rFonts w:ascii="Times New Roman" w:hAnsi="Times New Roman" w:eastAsia="仿宋_GB2312"/>
          <w:color w:val="auto"/>
          <w:sz w:val="22"/>
        </w:rPr>
        <w:t>说明：“项目支出”需要填报基本支出以外的所有项目支出情况，“公用经费”填报基本支出中的一般商品和服务支出。</w:t>
      </w:r>
    </w:p>
    <w:p>
      <w:pPr>
        <w:widowControl/>
        <w:spacing w:line="400" w:lineRule="exact"/>
        <w:jc w:val="left"/>
        <w:rPr>
          <w:rFonts w:ascii="Times New Roman" w:hAnsi="Times New Roman" w:eastAsia="仿宋_GB2312"/>
          <w:color w:val="auto"/>
          <w:sz w:val="22"/>
        </w:rPr>
      </w:pPr>
    </w:p>
    <w:p>
      <w:pPr>
        <w:widowControl/>
        <w:spacing w:line="400" w:lineRule="exact"/>
        <w:jc w:val="left"/>
        <w:rPr>
          <w:rFonts w:hint="eastAsia" w:ascii="黑体" w:hAnsi="黑体" w:eastAsia="仿宋_GB2312" w:cs="黑体"/>
          <w:color w:val="auto"/>
          <w:sz w:val="32"/>
          <w:szCs w:val="32"/>
          <w:lang w:eastAsia="zh-CN"/>
        </w:rPr>
      </w:pPr>
      <w:r>
        <w:rPr>
          <w:rFonts w:ascii="Times New Roman" w:hAnsi="Times New Roman" w:eastAsia="仿宋_GB2312"/>
          <w:color w:val="auto"/>
          <w:sz w:val="18"/>
          <w:szCs w:val="18"/>
        </w:rPr>
        <w:t>填表人</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r>
        <w:rPr>
          <w:rFonts w:ascii="Times New Roman" w:hAnsi="Times New Roman" w:eastAsia="仿宋_GB2312"/>
          <w:color w:val="auto"/>
          <w:sz w:val="18"/>
          <w:szCs w:val="18"/>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填报日期：</w:t>
      </w:r>
      <w:r>
        <w:rPr>
          <w:rFonts w:hint="eastAsia" w:ascii="Times New Roman" w:hAnsi="Times New Roman" w:eastAsia="仿宋_GB2312"/>
          <w:color w:val="auto"/>
          <w:sz w:val="18"/>
          <w:szCs w:val="18"/>
        </w:rPr>
        <w:t xml:space="preserve">2023年5月22日  </w:t>
      </w:r>
      <w:r>
        <w:rPr>
          <w:rFonts w:ascii="Times New Roman" w:hAnsi="Times New Roman" w:eastAsia="仿宋_GB2312"/>
          <w:color w:val="auto"/>
          <w:sz w:val="18"/>
          <w:szCs w:val="18"/>
        </w:rPr>
        <w:t xml:space="preserve"> 联系电话：</w:t>
      </w:r>
      <w:r>
        <w:rPr>
          <w:rFonts w:hint="eastAsia" w:ascii="Times New Roman" w:hAnsi="Times New Roman" w:eastAsia="仿宋_GB2312"/>
          <w:color w:val="auto"/>
          <w:sz w:val="18"/>
          <w:szCs w:val="18"/>
        </w:rPr>
        <w:t>8880083</w:t>
      </w:r>
      <w:r>
        <w:rPr>
          <w:rFonts w:ascii="Times New Roman" w:hAnsi="Times New Roman" w:eastAsia="仿宋_GB2312"/>
          <w:color w:val="auto"/>
          <w:sz w:val="18"/>
          <w:szCs w:val="18"/>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单位负责人签字：</w:t>
      </w:r>
      <w:r>
        <w:rPr>
          <w:rFonts w:hint="eastAsia" w:ascii="Times New Roman" w:hAnsi="Times New Roman" w:eastAsia="仿宋_GB2312"/>
          <w:color w:val="auto"/>
          <w:sz w:val="18"/>
          <w:szCs w:val="18"/>
          <w:lang w:val="en-US" w:eastAsia="zh-CN"/>
        </w:rPr>
        <w:t xml:space="preserve"> </w:t>
      </w: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widowControl/>
        <w:spacing w:line="400" w:lineRule="exact"/>
        <w:jc w:val="left"/>
        <w:rPr>
          <w:rFonts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widowControl/>
        <w:spacing w:line="400" w:lineRule="exact"/>
        <w:jc w:val="left"/>
        <w:rPr>
          <w:rFonts w:ascii="黑体" w:hAnsi="黑体" w:eastAsia="黑体" w:cs="黑体"/>
          <w:color w:val="auto"/>
          <w:sz w:val="32"/>
          <w:szCs w:val="32"/>
        </w:rPr>
      </w:pPr>
      <w:r>
        <w:rPr>
          <w:rFonts w:hint="eastAsia" w:ascii="黑体" w:hAnsi="黑体" w:eastAsia="黑体" w:cs="黑体"/>
          <w:color w:val="auto"/>
          <w:sz w:val="32"/>
          <w:szCs w:val="32"/>
        </w:rPr>
        <w:t>附件2</w:t>
      </w:r>
    </w:p>
    <w:p>
      <w:pPr>
        <w:widowControl/>
        <w:spacing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2022年度部门整体支出绩效自评表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市级预算部门名称</w:t>
            </w:r>
          </w:p>
        </w:tc>
        <w:tc>
          <w:tcPr>
            <w:tcW w:w="8999"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岳阳市信访局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年度预</w:t>
            </w: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算申请</w:t>
            </w:r>
            <w:r>
              <w:rPr>
                <w:rFonts w:hint="eastAsia" w:ascii="仿宋_GB2312" w:hAnsi="仿宋_GB2312" w:eastAsia="仿宋_GB2312" w:cs="仿宋_GB2312"/>
                <w:color w:val="auto"/>
                <w:sz w:val="20"/>
                <w:szCs w:val="20"/>
              </w:rPr>
              <w:br w:type="textWrapping"/>
            </w:r>
            <w:r>
              <w:rPr>
                <w:rFonts w:hint="eastAsia" w:ascii="仿宋_GB2312" w:hAnsi="仿宋_GB2312" w:eastAsia="仿宋_GB2312" w:cs="仿宋_GB2312"/>
                <w:color w:val="auto"/>
                <w:sz w:val="20"/>
                <w:szCs w:val="20"/>
              </w:rPr>
              <w:t>（万元）</w:t>
            </w: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年初预算数</w:t>
            </w:r>
          </w:p>
        </w:tc>
        <w:tc>
          <w:tcPr>
            <w:tcW w:w="1311"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全年预算数</w:t>
            </w:r>
          </w:p>
        </w:tc>
        <w:tc>
          <w:tcPr>
            <w:tcW w:w="126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全年执行数</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执行率</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年度资金总额</w:t>
            </w: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561.57</w:t>
            </w:r>
          </w:p>
        </w:tc>
        <w:tc>
          <w:tcPr>
            <w:tcW w:w="1311"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1499.09</w:t>
            </w:r>
          </w:p>
        </w:tc>
        <w:tc>
          <w:tcPr>
            <w:tcW w:w="126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1499.09</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100</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按收入性质分：</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xml:space="preserve">  其中：  一般公共预算：880.48</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其中：基本支出：925.04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政府性基金拨款：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项目支出：574.04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其他资金：618.61</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年度总体目标</w:t>
            </w: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任务1：高位推进信访工作。</w:t>
            </w:r>
          </w:p>
          <w:p>
            <w:pPr>
              <w:widowControl/>
              <w:spacing w:line="240" w:lineRule="exact"/>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任务2：不断夯实基层基础。</w:t>
            </w:r>
          </w:p>
          <w:p>
            <w:pPr>
              <w:widowControl/>
              <w:spacing w:line="240" w:lineRule="exact"/>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任务3：持续提升业务水平。</w:t>
            </w:r>
          </w:p>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任务4：积极推进“人民满意窗口”创建。</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按照要求完成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绩</w:t>
            </w: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w:t>
            </w: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w:t>
            </w: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标</w:t>
            </w:r>
          </w:p>
          <w:p>
            <w:pPr>
              <w:widowControl/>
              <w:spacing w:line="240" w:lineRule="exact"/>
              <w:jc w:val="center"/>
              <w:rPr>
                <w:rFonts w:ascii="仿宋_GB2312" w:hAnsi="仿宋_GB2312" w:eastAsia="仿宋_GB2312" w:cs="仿宋_GB2312"/>
                <w:color w:val="auto"/>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一级指标</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二级指标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三级指标</w:t>
            </w:r>
          </w:p>
        </w:tc>
        <w:tc>
          <w:tcPr>
            <w:tcW w:w="1311"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年度指标值</w:t>
            </w:r>
          </w:p>
        </w:tc>
        <w:tc>
          <w:tcPr>
            <w:tcW w:w="1269"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实际完成值</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c>
          <w:tcPr>
            <w:tcW w:w="1446"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产出指标</w:t>
            </w:r>
          </w:p>
          <w:p>
            <w:pPr>
              <w:widowControl/>
              <w:spacing w:line="240" w:lineRule="exact"/>
              <w:jc w:val="center"/>
              <w:rPr>
                <w:rFonts w:ascii="仿宋_GB2312" w:hAnsi="仿宋_GB2312" w:eastAsia="仿宋_GB2312" w:cs="仿宋_GB2312"/>
                <w:color w:val="auto"/>
                <w:sz w:val="20"/>
                <w:szCs w:val="20"/>
              </w:rPr>
            </w:pP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(50分)</w:t>
            </w:r>
          </w:p>
        </w:tc>
        <w:tc>
          <w:tcPr>
            <w:tcW w:w="1034"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数量指标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rPr>
              <w:t>、进京非接待场所登记上访人员数。</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次数在合理可控制范围内。</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在合理可控范围之内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vMerge w:val="continue"/>
            <w:tcBorders>
              <w:left w:val="nil"/>
              <w:right w:val="single" w:color="auto" w:sz="4" w:space="0"/>
            </w:tcBorders>
            <w:vAlign w:val="center"/>
          </w:tcPr>
          <w:p>
            <w:pPr>
              <w:spacing w:line="240" w:lineRule="exact"/>
              <w:jc w:val="center"/>
              <w:rPr>
                <w:rFonts w:ascii="仿宋_GB2312" w:hAnsi="仿宋_GB2312" w:eastAsia="仿宋_GB2312" w:cs="仿宋_GB2312"/>
                <w:color w:val="auto"/>
                <w:sz w:val="20"/>
                <w:szCs w:val="20"/>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rPr>
              <w:t>、国家信访局重复越级上访人员数。</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次数在合理可控制范围内。</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在合理可控范围之内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vMerge w:val="continue"/>
            <w:tcBorders>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3、5人及以上进京赴省到市集访上访数。</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次数在合理可控制范围内。</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在合理可控范围之内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4、极端恶性上访事件数。</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次数在合理可控制范围内。</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在合理可控范围之内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nil"/>
              <w:left w:val="nil"/>
              <w:bottom w:val="single" w:color="auto" w:sz="4" w:space="0"/>
              <w:right w:val="single" w:color="auto" w:sz="4" w:space="0"/>
            </w:tcBorders>
            <w:vAlign w:val="center"/>
          </w:tcPr>
          <w:p>
            <w:pPr>
              <w:widowControl/>
              <w:spacing w:line="240" w:lineRule="exact"/>
              <w:ind w:firstLine="100" w:firstLineChars="5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质量指标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rPr>
              <w:t>、落实首登首办责任，加强初信初访办理。</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落实责任力度较大，办结率高。</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办结率在合格范围之内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rPr>
              <w:t>、县市区一个月内办结信访件与总办结数量的比率较高。</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落实责任力度较大，办结率高。</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办结率在合格范围之内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时效指标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z w:val="20"/>
                <w:szCs w:val="20"/>
              </w:rPr>
            </w:pPr>
            <w:r>
              <w:rPr>
                <w:rFonts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rPr>
              <w:t>、24小时接听处理任务，第一时间协调对接12个县市区构建全市疫情防控热线网络。</w:t>
            </w:r>
          </w:p>
          <w:p>
            <w:pPr>
              <w:widowControl/>
              <w:spacing w:line="240" w:lineRule="exact"/>
              <w:jc w:val="center"/>
              <w:rPr>
                <w:rFonts w:ascii="仿宋_GB2312" w:hAnsi="仿宋_GB2312" w:eastAsia="仿宋_GB2312" w:cs="仿宋_GB2312"/>
                <w:color w:val="auto"/>
                <w:sz w:val="20"/>
                <w:szCs w:val="20"/>
              </w:rPr>
            </w:pP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时效性在办事群众可接受范围之内。</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在接受范围之内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rPr>
              <w:t>、信访机构和责任部门的及时受理率。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时效性在办事群众可接受范围之内。</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在接受范围之内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成本指标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rPr>
              <w:t>、在预算资金内开支。</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不超支</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没有超支</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效益指标</w:t>
            </w:r>
          </w:p>
          <w:p>
            <w:pPr>
              <w:widowControl/>
              <w:spacing w:line="240" w:lineRule="exact"/>
              <w:jc w:val="left"/>
              <w:rPr>
                <w:rFonts w:ascii="仿宋_GB2312" w:hAnsi="仿宋_GB2312" w:eastAsia="仿宋_GB2312" w:cs="仿宋_GB2312"/>
                <w:color w:val="auto"/>
                <w:sz w:val="20"/>
                <w:szCs w:val="20"/>
              </w:rPr>
            </w:pPr>
          </w:p>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（30分）</w:t>
            </w:r>
          </w:p>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034"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经济效</w:t>
            </w: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rPr>
              <w:t>、非营利机构，不产生经济效益。</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社会效</w:t>
            </w: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rPr>
              <w:t>、信访工作示范县市区创建。</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创建示范县市区工作开展情况</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顺利开展</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vMerge w:val="continue"/>
            <w:tcBorders>
              <w:left w:val="nil"/>
              <w:right w:val="single" w:color="auto" w:sz="4" w:space="0"/>
            </w:tcBorders>
            <w:vAlign w:val="center"/>
          </w:tcPr>
          <w:p>
            <w:pPr>
              <w:spacing w:line="240" w:lineRule="exact"/>
              <w:jc w:val="center"/>
              <w:rPr>
                <w:rFonts w:ascii="仿宋_GB2312" w:hAnsi="仿宋_GB2312" w:eastAsia="仿宋_GB2312" w:cs="仿宋_GB2312"/>
                <w:color w:val="auto"/>
                <w:sz w:val="20"/>
                <w:szCs w:val="20"/>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rPr>
              <w:t>、切实解决民生问题。</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群众问题反馈解决率</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在合理范围之内</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34"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生态效</w:t>
            </w: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对生态环境无负面影响</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p>
        </w:tc>
        <w:tc>
          <w:tcPr>
            <w:tcW w:w="1034"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对社会可持续发展无负面影响</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auto"/>
                <w:sz w:val="20"/>
                <w:szCs w:val="20"/>
              </w:rPr>
            </w:pPr>
          </w:p>
        </w:tc>
        <w:tc>
          <w:tcPr>
            <w:tcW w:w="1080"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满意度</w:t>
            </w: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w:t>
            </w:r>
          </w:p>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（10分）</w:t>
            </w:r>
          </w:p>
        </w:tc>
        <w:tc>
          <w:tcPr>
            <w:tcW w:w="1034"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服务对象满意度指标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rPr>
              <w:t>、建设“人民满意窗口”。</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满意度达标</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达标</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总分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98</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auto"/>
                <w:sz w:val="20"/>
                <w:szCs w:val="20"/>
              </w:rPr>
            </w:pPr>
          </w:p>
        </w:tc>
      </w:tr>
    </w:tbl>
    <w:p>
      <w:pPr>
        <w:widowControl/>
        <w:spacing w:line="400" w:lineRule="exact"/>
        <w:jc w:val="left"/>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rPr>
        <w:t>填表人</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填报日期：</w:t>
      </w:r>
      <w:r>
        <w:rPr>
          <w:rFonts w:hint="eastAsia" w:ascii="Times New Roman" w:hAnsi="Times New Roman" w:eastAsia="仿宋_GB2312"/>
          <w:color w:val="auto"/>
          <w:sz w:val="18"/>
          <w:szCs w:val="18"/>
        </w:rPr>
        <w:t xml:space="preserve">2023年5月22日  </w:t>
      </w:r>
      <w:r>
        <w:rPr>
          <w:rFonts w:ascii="Times New Roman" w:hAnsi="Times New Roman" w:eastAsia="仿宋_GB2312"/>
          <w:color w:val="auto"/>
          <w:sz w:val="18"/>
          <w:szCs w:val="18"/>
        </w:rPr>
        <w:t xml:space="preserve"> 联系电话：</w:t>
      </w:r>
      <w:r>
        <w:rPr>
          <w:rFonts w:hint="eastAsia" w:ascii="Times New Roman" w:hAnsi="Times New Roman" w:eastAsia="仿宋_GB2312"/>
          <w:color w:val="auto"/>
          <w:sz w:val="18"/>
          <w:szCs w:val="18"/>
        </w:rPr>
        <w:t>8880083</w:t>
      </w:r>
      <w:r>
        <w:rPr>
          <w:rFonts w:ascii="Times New Roman" w:hAnsi="Times New Roman" w:eastAsia="仿宋_GB2312"/>
          <w:color w:val="auto"/>
          <w:sz w:val="18"/>
          <w:szCs w:val="18"/>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单位负责人签字：</w:t>
      </w:r>
      <w:r>
        <w:rPr>
          <w:rFonts w:hint="eastAsia" w:ascii="Times New Roman" w:hAnsi="Times New Roman" w:eastAsia="仿宋_GB2312"/>
          <w:color w:val="auto"/>
          <w:sz w:val="18"/>
          <w:szCs w:val="18"/>
          <w:lang w:val="en-US" w:eastAsia="zh-CN"/>
        </w:rPr>
        <w:t xml:space="preserve"> </w:t>
      </w: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hint="eastAsia" w:ascii="黑体" w:hAnsi="黑体" w:eastAsia="黑体" w:cs="黑体"/>
          <w:color w:val="auto"/>
          <w:sz w:val="32"/>
          <w:szCs w:val="32"/>
        </w:rPr>
      </w:pPr>
    </w:p>
    <w:p>
      <w:pPr>
        <w:widowControl/>
        <w:spacing w:line="600" w:lineRule="exact"/>
        <w:jc w:val="left"/>
        <w:rPr>
          <w:rFonts w:ascii="Times New Roman" w:hAnsi="Times New Roman" w:eastAsia="黑体"/>
          <w:color w:val="auto"/>
          <w:sz w:val="32"/>
          <w:szCs w:val="32"/>
        </w:rPr>
      </w:pPr>
      <w:r>
        <w:rPr>
          <w:rFonts w:hint="eastAsia" w:ascii="黑体" w:hAnsi="黑体" w:eastAsia="黑体" w:cs="黑体"/>
          <w:color w:val="auto"/>
          <w:sz w:val="32"/>
          <w:szCs w:val="32"/>
        </w:rPr>
        <w:t>附件3</w:t>
      </w:r>
    </w:p>
    <w:p>
      <w:pPr>
        <w:widowControl/>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2022年度项目支出绩效自评表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项目支</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特护期维稳工作经费（财政代编）</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岳阳市信访局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岳阳市信访局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项目资金</w:t>
            </w:r>
            <w:r>
              <w:rPr>
                <w:rFonts w:hint="eastAsia" w:ascii="仿宋_GB2312" w:hAnsi="仿宋_GB2312" w:eastAsia="仿宋_GB2312" w:cs="仿宋_GB2312"/>
                <w:color w:val="auto"/>
                <w:sz w:val="20"/>
                <w:szCs w:val="20"/>
              </w:rPr>
              <w:br w:type="textWrapping"/>
            </w:r>
            <w:r>
              <w:rPr>
                <w:rFonts w:hint="eastAsia" w:ascii="仿宋_GB2312" w:hAnsi="仿宋_GB2312" w:eastAsia="仿宋_GB2312" w:cs="仿宋_GB2312"/>
                <w:color w:val="auto"/>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年初</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w:t>
            </w:r>
          </w:p>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80.41</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80.41</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37.22</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37.22</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43.19</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43.19</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完成特护期维稳工作</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顺利完成相关维稳工作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绩</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产出指标</w:t>
            </w:r>
          </w:p>
          <w:p>
            <w:pPr>
              <w:widowControl/>
              <w:spacing w:line="260" w:lineRule="exact"/>
              <w:jc w:val="center"/>
              <w:rPr>
                <w:rFonts w:ascii="仿宋_GB2312" w:hAnsi="仿宋_GB2312" w:eastAsia="仿宋_GB2312" w:cs="仿宋_GB2312"/>
                <w:color w:val="auto"/>
                <w:sz w:val="20"/>
                <w:szCs w:val="20"/>
              </w:rPr>
            </w:pP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特护期期间发生</w:t>
            </w:r>
            <w:r>
              <w:rPr>
                <w:rFonts w:ascii="仿宋_GB2312" w:hAnsi="仿宋_GB2312" w:eastAsia="仿宋_GB2312" w:cs="仿宋_GB2312"/>
                <w:color w:val="auto"/>
                <w:sz w:val="20"/>
                <w:szCs w:val="20"/>
              </w:rPr>
              <w:t>5人以上到会场和代表、委员住地的集访事件件数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信访事件件数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在合理可控范围之内</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特护期期间发生重大群体性事件件数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信访事件件数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在合理可控范围之内</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特护期期间发生极端恶性事件件数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信访事件件数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在合理可控范围之内</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特护期期间我办所属辖区社会稳定度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社会稳定性</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在合理可控范围之内</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20</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在特护期期间完成相关信访维稳工作</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不超时</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没有超时</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在预算内开支</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不超预算</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没有超预算</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效益指标</w:t>
            </w:r>
          </w:p>
          <w:p>
            <w:pPr>
              <w:widowControl/>
              <w:spacing w:line="260" w:lineRule="exact"/>
              <w:jc w:val="left"/>
              <w:rPr>
                <w:rFonts w:ascii="仿宋_GB2312" w:hAnsi="仿宋_GB2312" w:eastAsia="仿宋_GB2312" w:cs="仿宋_GB2312"/>
                <w:color w:val="auto"/>
                <w:sz w:val="20"/>
                <w:szCs w:val="20"/>
              </w:rPr>
            </w:pPr>
          </w:p>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（30分）</w:t>
            </w:r>
          </w:p>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经济效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非盈利机构，不产生经济效益</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社会效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社会生活稳定，生产秩序平稳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生态效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对社会生态不造成负面影响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对社会可持续发展不造成负面影响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满意度</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群众满意率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群众满意度</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w:t>
            </w:r>
          </w:p>
        </w:tc>
        <w:tc>
          <w:tcPr>
            <w:tcW w:w="141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继续提升群众满意度</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99</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bl>
    <w:p>
      <w:pPr>
        <w:rPr>
          <w:rFonts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rPr>
        <w:t>填表人</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填报日期：</w:t>
      </w:r>
      <w:r>
        <w:rPr>
          <w:rFonts w:hint="eastAsia" w:ascii="Times New Roman" w:hAnsi="Times New Roman" w:eastAsia="仿宋_GB2312"/>
          <w:color w:val="auto"/>
          <w:sz w:val="18"/>
          <w:szCs w:val="18"/>
        </w:rPr>
        <w:t xml:space="preserve">2023年5月22日  </w:t>
      </w:r>
      <w:r>
        <w:rPr>
          <w:rFonts w:ascii="Times New Roman" w:hAnsi="Times New Roman" w:eastAsia="仿宋_GB2312"/>
          <w:color w:val="auto"/>
          <w:sz w:val="18"/>
          <w:szCs w:val="18"/>
        </w:rPr>
        <w:t xml:space="preserve"> 联系电话：</w:t>
      </w:r>
      <w:r>
        <w:rPr>
          <w:rFonts w:hint="eastAsia" w:ascii="Times New Roman" w:hAnsi="Times New Roman" w:eastAsia="仿宋_GB2312"/>
          <w:color w:val="auto"/>
          <w:sz w:val="18"/>
          <w:szCs w:val="18"/>
        </w:rPr>
        <w:t>8880083</w:t>
      </w:r>
      <w:r>
        <w:rPr>
          <w:rFonts w:ascii="Times New Roman" w:hAnsi="Times New Roman" w:eastAsia="仿宋_GB2312"/>
          <w:color w:val="auto"/>
          <w:sz w:val="18"/>
          <w:szCs w:val="18"/>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单位负责人签字：</w:t>
      </w:r>
      <w:r>
        <w:rPr>
          <w:rFonts w:hint="eastAsia" w:ascii="Times New Roman" w:hAnsi="Times New Roman" w:eastAsia="仿宋_GB2312"/>
          <w:color w:val="auto"/>
          <w:sz w:val="18"/>
          <w:szCs w:val="18"/>
          <w:lang w:val="en-US" w:eastAsia="zh-CN"/>
        </w:rPr>
        <w:t xml:space="preserve"> </w:t>
      </w: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hint="eastAsia" w:ascii="Times New Roman" w:hAnsi="Times New Roman" w:eastAsia="仿宋_GB2312"/>
          <w:color w:val="auto"/>
          <w:sz w:val="18"/>
          <w:szCs w:val="18"/>
        </w:rPr>
      </w:pPr>
    </w:p>
    <w:p>
      <w:pPr>
        <w:widowControl/>
        <w:spacing w:line="400" w:lineRule="exact"/>
        <w:jc w:val="left"/>
        <w:rPr>
          <w:rFonts w:ascii="Times New Roman" w:hAnsi="Times New Roman" w:eastAsia="仿宋_GB2312"/>
          <w:color w:val="auto"/>
          <w:sz w:val="18"/>
          <w:szCs w:val="18"/>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widowControl/>
        <w:spacing w:line="600" w:lineRule="exact"/>
        <w:jc w:val="left"/>
        <w:rPr>
          <w:rFonts w:ascii="Times New Roman" w:hAnsi="Times New Roman" w:eastAsia="黑体"/>
          <w:color w:val="auto"/>
          <w:sz w:val="32"/>
          <w:szCs w:val="32"/>
        </w:rPr>
      </w:pPr>
      <w:r>
        <w:rPr>
          <w:rFonts w:hint="eastAsia" w:ascii="黑体" w:hAnsi="黑体" w:eastAsia="黑体" w:cs="黑体"/>
          <w:color w:val="auto"/>
          <w:sz w:val="32"/>
          <w:szCs w:val="32"/>
        </w:rPr>
        <w:t>附件3</w:t>
      </w:r>
    </w:p>
    <w:p>
      <w:pPr>
        <w:widowControl/>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2022年度项目支出绩效自评表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341"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项目支</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办公楼维修专项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岳阳市信访局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岳阳市信访局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项目资金</w:t>
            </w:r>
            <w:r>
              <w:rPr>
                <w:rFonts w:hint="eastAsia" w:ascii="仿宋_GB2312" w:hAnsi="仿宋_GB2312" w:eastAsia="仿宋_GB2312" w:cs="仿宋_GB2312"/>
                <w:color w:val="auto"/>
                <w:sz w:val="20"/>
                <w:szCs w:val="20"/>
              </w:rPr>
              <w:br w:type="textWrapping"/>
            </w:r>
            <w:r>
              <w:rPr>
                <w:rFonts w:hint="eastAsia" w:ascii="仿宋_GB2312" w:hAnsi="仿宋_GB2312" w:eastAsia="仿宋_GB2312" w:cs="仿宋_GB2312"/>
                <w:color w:val="auto"/>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年初</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w:t>
            </w:r>
          </w:p>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56.44</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56.44</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40.22</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40.22</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16.22</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16.22</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保障办公楼安全正常运转</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办公楼正常运转</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绩</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产出指标</w:t>
            </w:r>
          </w:p>
          <w:p>
            <w:pPr>
              <w:widowControl/>
              <w:spacing w:line="260" w:lineRule="exact"/>
              <w:jc w:val="center"/>
              <w:rPr>
                <w:rFonts w:ascii="仿宋_GB2312" w:hAnsi="仿宋_GB2312" w:eastAsia="仿宋_GB2312" w:cs="仿宋_GB2312"/>
                <w:color w:val="auto"/>
                <w:sz w:val="20"/>
                <w:szCs w:val="20"/>
              </w:rPr>
            </w:pP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(50分)</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数量指标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完成办公楼维修1次</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维修次数</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完成一次维修</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质量指标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办公楼安全正常运转</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正常运转</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正常运转</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时效指标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在预计竣工日期之前完工</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完工日期</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按时完成</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成本指标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在成本预算范围内开支</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不超预算</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没有超预算列支</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20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20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效益指标</w:t>
            </w:r>
          </w:p>
          <w:p>
            <w:pPr>
              <w:widowControl/>
              <w:spacing w:line="260" w:lineRule="exact"/>
              <w:jc w:val="left"/>
              <w:rPr>
                <w:rFonts w:ascii="仿宋_GB2312" w:hAnsi="仿宋_GB2312" w:eastAsia="仿宋_GB2312" w:cs="仿宋_GB2312"/>
                <w:color w:val="auto"/>
                <w:sz w:val="20"/>
                <w:szCs w:val="20"/>
              </w:rPr>
            </w:pPr>
          </w:p>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（30分）</w:t>
            </w:r>
          </w:p>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经济效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非盈利机构，不产生经济效益</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社会效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对社会发展无负面影响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无负面影响</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生态效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对生态环境发展无负面影响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无负面影响</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对社会可持续发展无负面影响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无负面影响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无负面影响</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满意度</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（10分）</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群众满意度</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满意度</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达标</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即系提升</w:t>
            </w:r>
          </w:p>
        </w:tc>
      </w:tr>
      <w:tr>
        <w:tblPrEx>
          <w:tblCellMar>
            <w:top w:w="0" w:type="dxa"/>
            <w:left w:w="108" w:type="dxa"/>
            <w:bottom w:w="0" w:type="dxa"/>
            <w:right w:w="108" w:type="dxa"/>
          </w:tblCellMar>
        </w:tblPrEx>
        <w:trPr>
          <w:trHeight w:val="358"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干部满意度</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满意度</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达标</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99</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bl>
    <w:p>
      <w:pPr>
        <w:widowControl/>
        <w:spacing w:line="400" w:lineRule="exact"/>
        <w:jc w:val="left"/>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rPr>
        <w:t>填表人</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r>
        <w:rPr>
          <w:rFonts w:ascii="Times New Roman" w:hAnsi="Times New Roman" w:eastAsia="仿宋_GB2312"/>
          <w:color w:val="auto"/>
          <w:sz w:val="18"/>
          <w:szCs w:val="18"/>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填报日期：</w:t>
      </w:r>
      <w:r>
        <w:rPr>
          <w:rFonts w:hint="eastAsia" w:ascii="Times New Roman" w:hAnsi="Times New Roman" w:eastAsia="仿宋_GB2312"/>
          <w:color w:val="auto"/>
          <w:sz w:val="18"/>
          <w:szCs w:val="18"/>
        </w:rPr>
        <w:t xml:space="preserve">2023年5月22日  </w:t>
      </w:r>
      <w:r>
        <w:rPr>
          <w:rFonts w:ascii="Times New Roman" w:hAnsi="Times New Roman" w:eastAsia="仿宋_GB2312"/>
          <w:color w:val="auto"/>
          <w:sz w:val="18"/>
          <w:szCs w:val="18"/>
        </w:rPr>
        <w:t xml:space="preserve"> 联系电话：</w:t>
      </w:r>
      <w:r>
        <w:rPr>
          <w:rFonts w:hint="eastAsia" w:ascii="Times New Roman" w:hAnsi="Times New Roman" w:eastAsia="仿宋_GB2312"/>
          <w:color w:val="auto"/>
          <w:sz w:val="18"/>
          <w:szCs w:val="18"/>
        </w:rPr>
        <w:t>8880083</w:t>
      </w:r>
      <w:r>
        <w:rPr>
          <w:rFonts w:ascii="Times New Roman" w:hAnsi="Times New Roman" w:eastAsia="仿宋_GB2312"/>
          <w:color w:val="auto"/>
          <w:sz w:val="18"/>
          <w:szCs w:val="18"/>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单位负责人签字：</w:t>
      </w:r>
      <w:r>
        <w:rPr>
          <w:rFonts w:hint="eastAsia" w:ascii="Times New Roman" w:hAnsi="Times New Roman" w:eastAsia="仿宋_GB2312"/>
          <w:color w:val="auto"/>
          <w:sz w:val="18"/>
          <w:szCs w:val="18"/>
          <w:lang w:val="en-US" w:eastAsia="zh-CN"/>
        </w:rPr>
        <w:t xml:space="preserve">  </w:t>
      </w:r>
    </w:p>
    <w:p>
      <w:pPr>
        <w:widowControl/>
        <w:spacing w:line="600" w:lineRule="exact"/>
        <w:jc w:val="left"/>
        <w:rPr>
          <w:rFonts w:ascii="Times New Roman" w:hAnsi="Times New Roman" w:eastAsia="黑体"/>
          <w:color w:val="auto"/>
          <w:sz w:val="32"/>
          <w:szCs w:val="32"/>
        </w:rPr>
      </w:pPr>
      <w:r>
        <w:rPr>
          <w:rFonts w:hint="eastAsia" w:ascii="黑体" w:hAnsi="黑体" w:eastAsia="黑体" w:cs="黑体"/>
          <w:color w:val="auto"/>
          <w:sz w:val="32"/>
          <w:szCs w:val="32"/>
        </w:rPr>
        <w:t>附件3</w:t>
      </w:r>
    </w:p>
    <w:p>
      <w:pPr>
        <w:widowControl/>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2022年度项目支出绩效自评表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38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项目支</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智慧信访（财政代编）</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岳阳市信访局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岳阳市信访局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项目资金</w:t>
            </w:r>
            <w:r>
              <w:rPr>
                <w:rFonts w:hint="eastAsia" w:ascii="仿宋_GB2312" w:hAnsi="仿宋_GB2312" w:eastAsia="仿宋_GB2312" w:cs="仿宋_GB2312"/>
                <w:color w:val="auto"/>
                <w:sz w:val="20"/>
                <w:szCs w:val="20"/>
              </w:rPr>
              <w:br w:type="textWrapping"/>
            </w:r>
            <w:r>
              <w:rPr>
                <w:rFonts w:hint="eastAsia" w:ascii="仿宋_GB2312" w:hAnsi="仿宋_GB2312" w:eastAsia="仿宋_GB2312" w:cs="仿宋_GB2312"/>
                <w:color w:val="auto"/>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年初</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w:t>
            </w:r>
          </w:p>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47.19</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47.19</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47.19</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47.19</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智慧信访软件按期完成升级改造</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已完成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绩</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产出指标</w:t>
            </w:r>
          </w:p>
          <w:p>
            <w:pPr>
              <w:widowControl/>
              <w:spacing w:line="260" w:lineRule="exact"/>
              <w:jc w:val="center"/>
              <w:rPr>
                <w:rFonts w:ascii="仿宋_GB2312" w:hAnsi="仿宋_GB2312" w:eastAsia="仿宋_GB2312" w:cs="仿宋_GB2312"/>
                <w:color w:val="auto"/>
                <w:sz w:val="20"/>
                <w:szCs w:val="20"/>
              </w:rPr>
            </w:pP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(50分)</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数量指标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软件升级数</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质量指标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软件使用方便快捷</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使用是否方便</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比较方便</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继续完善更新</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时效指标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在截止日之前完成软件升级改造</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不超时</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在截止日之前完成</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成本指标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不超预算</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不超支</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未超支</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效益指标</w:t>
            </w:r>
          </w:p>
          <w:p>
            <w:pPr>
              <w:widowControl/>
              <w:spacing w:line="260" w:lineRule="exact"/>
              <w:jc w:val="left"/>
              <w:rPr>
                <w:rFonts w:ascii="仿宋_GB2312" w:hAnsi="仿宋_GB2312" w:eastAsia="仿宋_GB2312" w:cs="仿宋_GB2312"/>
                <w:color w:val="auto"/>
                <w:sz w:val="20"/>
                <w:szCs w:val="20"/>
              </w:rPr>
            </w:pPr>
          </w:p>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（30分）</w:t>
            </w:r>
          </w:p>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经济效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非盈利机构，不产生经济效益</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社会效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对社会发展无负面影响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生态效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对生态环境发展无负面影响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对社会可持续发展无负面影响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满意度</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（10分）</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群众满意度</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满意度值</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达标</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trHeight w:val="360"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99</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bl>
    <w:p>
      <w:pPr>
        <w:widowControl/>
        <w:spacing w:line="400" w:lineRule="exact"/>
        <w:jc w:val="left"/>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rPr>
        <w:t>填表人</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填报日期：</w:t>
      </w:r>
      <w:r>
        <w:rPr>
          <w:rFonts w:hint="eastAsia" w:ascii="Times New Roman" w:hAnsi="Times New Roman" w:eastAsia="仿宋_GB2312"/>
          <w:color w:val="auto"/>
          <w:sz w:val="18"/>
          <w:szCs w:val="18"/>
        </w:rPr>
        <w:t xml:space="preserve">2023年5月22日  </w:t>
      </w:r>
      <w:r>
        <w:rPr>
          <w:rFonts w:ascii="Times New Roman" w:hAnsi="Times New Roman" w:eastAsia="仿宋_GB2312"/>
          <w:color w:val="auto"/>
          <w:sz w:val="18"/>
          <w:szCs w:val="18"/>
        </w:rPr>
        <w:t xml:space="preserve"> 联系电话：</w:t>
      </w:r>
      <w:r>
        <w:rPr>
          <w:rFonts w:hint="eastAsia" w:ascii="Times New Roman" w:hAnsi="Times New Roman" w:eastAsia="仿宋_GB2312"/>
          <w:color w:val="auto"/>
          <w:sz w:val="18"/>
          <w:szCs w:val="18"/>
        </w:rPr>
        <w:t>8880083</w:t>
      </w:r>
      <w:r>
        <w:rPr>
          <w:rFonts w:ascii="Times New Roman" w:hAnsi="Times New Roman" w:eastAsia="仿宋_GB2312"/>
          <w:color w:val="auto"/>
          <w:sz w:val="18"/>
          <w:szCs w:val="18"/>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单位负责人签字：</w:t>
      </w:r>
      <w:r>
        <w:rPr>
          <w:rFonts w:hint="eastAsia" w:ascii="Times New Roman" w:hAnsi="Times New Roman" w:eastAsia="仿宋_GB2312"/>
          <w:color w:val="auto"/>
          <w:sz w:val="18"/>
          <w:szCs w:val="18"/>
          <w:lang w:val="en-US" w:eastAsia="zh-CN"/>
        </w:rPr>
        <w:t xml:space="preserve"> </w:t>
      </w:r>
    </w:p>
    <w:p>
      <w:pPr>
        <w:widowControl/>
        <w:spacing w:line="600" w:lineRule="exact"/>
        <w:jc w:val="left"/>
        <w:rPr>
          <w:rFonts w:ascii="Times New Roman" w:hAnsi="Times New Roman" w:eastAsia="黑体"/>
          <w:color w:val="auto"/>
          <w:sz w:val="32"/>
          <w:szCs w:val="32"/>
        </w:rPr>
      </w:pPr>
      <w:r>
        <w:rPr>
          <w:rFonts w:hint="eastAsia" w:ascii="黑体" w:hAnsi="黑体" w:eastAsia="黑体" w:cs="黑体"/>
          <w:color w:val="auto"/>
          <w:sz w:val="32"/>
          <w:szCs w:val="32"/>
        </w:rPr>
        <w:t>附件3</w:t>
      </w:r>
    </w:p>
    <w:p>
      <w:pPr>
        <w:widowControl/>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2022年度项目支出绩效自评表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项目支</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信访救助资金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岳阳市信访局</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岳阳市信访局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项目资金</w:t>
            </w:r>
            <w:r>
              <w:rPr>
                <w:rFonts w:hint="eastAsia" w:ascii="仿宋_GB2312" w:hAnsi="仿宋_GB2312" w:eastAsia="仿宋_GB2312" w:cs="仿宋_GB2312"/>
                <w:color w:val="auto"/>
                <w:sz w:val="20"/>
                <w:szCs w:val="20"/>
              </w:rPr>
              <w:br w:type="textWrapping"/>
            </w:r>
            <w:r>
              <w:rPr>
                <w:rFonts w:hint="eastAsia" w:ascii="仿宋_GB2312" w:hAnsi="仿宋_GB2312" w:eastAsia="仿宋_GB2312" w:cs="仿宋_GB2312"/>
                <w:color w:val="auto"/>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年初</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全年</w:t>
            </w:r>
          </w:p>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390.00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390.00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390.00</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390.00</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完成信访人专项救助资金发放工作</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已按要求支付到位</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绩</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年度</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实际</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产出指标</w:t>
            </w:r>
          </w:p>
          <w:p>
            <w:pPr>
              <w:widowControl/>
              <w:spacing w:line="260" w:lineRule="exact"/>
              <w:jc w:val="center"/>
              <w:rPr>
                <w:rFonts w:ascii="仿宋_GB2312" w:hAnsi="仿宋_GB2312" w:eastAsia="仿宋_GB2312" w:cs="仿宋_GB2312"/>
                <w:color w:val="auto"/>
                <w:sz w:val="20"/>
                <w:szCs w:val="20"/>
              </w:rPr>
            </w:pP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(50分)</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数量指标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救助资金支付金额</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390万元</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390万元</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资金支付部门数</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2个部门</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2个部门</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质量指标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支付无差错</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无差错</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无差错</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时效指标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按时完成支付</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按时完成支付</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按时完成</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成本指标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不超支</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390万</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未超支</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效益指标</w:t>
            </w:r>
          </w:p>
          <w:p>
            <w:pPr>
              <w:widowControl/>
              <w:spacing w:line="260" w:lineRule="exact"/>
              <w:jc w:val="left"/>
              <w:rPr>
                <w:rFonts w:ascii="仿宋_GB2312" w:hAnsi="仿宋_GB2312" w:eastAsia="仿宋_GB2312" w:cs="仿宋_GB2312"/>
                <w:color w:val="auto"/>
                <w:sz w:val="20"/>
                <w:szCs w:val="20"/>
              </w:rPr>
            </w:pPr>
          </w:p>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（30分）</w:t>
            </w:r>
          </w:p>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c>
          <w:tcPr>
            <w:tcW w:w="1080" w:type="dxa"/>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经济效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非盈利机构，不产生经济效益</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社会效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对社会发展无负面影响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生态效</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对生态环境发展无负面影响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080" w:type="dxa"/>
            <w:vMerge w:val="continue"/>
            <w:tcBorders>
              <w:left w:val="nil"/>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对社会可持续发展无负面影响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无负面影响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满意度</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指标</w:t>
            </w:r>
          </w:p>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（10分）</w:t>
            </w: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救助对象满意度</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无</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　</w:t>
            </w:r>
          </w:p>
        </w:tc>
      </w:tr>
    </w:tbl>
    <w:p>
      <w:pPr>
        <w:widowControl/>
        <w:spacing w:line="400" w:lineRule="exact"/>
        <w:jc w:val="left"/>
        <w:rPr>
          <w:rFonts w:hint="eastAsia" w:ascii="Times New Roman" w:hAnsi="Times New Roman" w:eastAsia="仿宋_GB2312"/>
          <w:color w:val="auto"/>
          <w:sz w:val="18"/>
          <w:szCs w:val="18"/>
          <w:lang w:val="en-US" w:eastAsia="zh-CN"/>
        </w:rPr>
      </w:pPr>
      <w:r>
        <w:rPr>
          <w:rFonts w:ascii="Times New Roman" w:hAnsi="Times New Roman" w:eastAsia="仿宋_GB2312"/>
          <w:color w:val="auto"/>
          <w:sz w:val="18"/>
          <w:szCs w:val="18"/>
        </w:rPr>
        <w:t>填表人</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填报日期：</w:t>
      </w:r>
      <w:r>
        <w:rPr>
          <w:rFonts w:hint="eastAsia" w:ascii="Times New Roman" w:hAnsi="Times New Roman" w:eastAsia="仿宋_GB2312"/>
          <w:color w:val="auto"/>
          <w:sz w:val="18"/>
          <w:szCs w:val="18"/>
        </w:rPr>
        <w:t xml:space="preserve">2023年5月22日  </w:t>
      </w:r>
      <w:r>
        <w:rPr>
          <w:rFonts w:ascii="Times New Roman" w:hAnsi="Times New Roman" w:eastAsia="仿宋_GB2312"/>
          <w:color w:val="auto"/>
          <w:sz w:val="18"/>
          <w:szCs w:val="18"/>
        </w:rPr>
        <w:t xml:space="preserve"> 联系电话：</w:t>
      </w:r>
      <w:r>
        <w:rPr>
          <w:rFonts w:hint="eastAsia" w:ascii="Times New Roman" w:hAnsi="Times New Roman" w:eastAsia="仿宋_GB2312"/>
          <w:color w:val="auto"/>
          <w:sz w:val="18"/>
          <w:szCs w:val="18"/>
        </w:rPr>
        <w:t>8880083</w:t>
      </w:r>
      <w:r>
        <w:rPr>
          <w:rFonts w:ascii="Times New Roman" w:hAnsi="Times New Roman" w:eastAsia="仿宋_GB2312"/>
          <w:color w:val="auto"/>
          <w:sz w:val="18"/>
          <w:szCs w:val="18"/>
        </w:rPr>
        <w:t xml:space="preserve"> </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单位负责人签字：</w:t>
      </w:r>
      <w:r>
        <w:rPr>
          <w:rFonts w:hint="eastAsia" w:ascii="Times New Roman" w:hAnsi="Times New Roman" w:eastAsia="仿宋_GB2312"/>
          <w:color w:val="auto"/>
          <w:sz w:val="18"/>
          <w:szCs w:val="18"/>
          <w:lang w:val="en-US" w:eastAsia="zh-CN"/>
        </w:rPr>
        <w:t xml:space="preserve"> </w:t>
      </w:r>
    </w:p>
    <w:p>
      <w:pPr>
        <w:spacing w:line="20" w:lineRule="exact"/>
        <w:rPr>
          <w:color w:val="auto"/>
        </w:rPr>
      </w:pPr>
    </w:p>
    <w:sectPr>
      <w:footerReference r:id="rId3" w:type="default"/>
      <w:pgSz w:w="11906" w:h="16838"/>
      <w:pgMar w:top="1587" w:right="1587" w:bottom="1587" w:left="1587" w:header="851" w:footer="992" w:gutter="0"/>
      <w:cols w:space="720" w:num="1"/>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25"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14</w:t>
                </w:r>
                <w:r>
                  <w:rPr>
                    <w:rFonts w:ascii="Times New Roman" w:hAnsi="Times New Roman"/>
                    <w:sz w:val="24"/>
                  </w:rPr>
                  <w:fldChar w:fldCharType="end"/>
                </w:r>
                <w:r>
                  <w:rPr>
                    <w:rFonts w:ascii="Times New Roman" w:hAnsi="Times New Roman"/>
                    <w:sz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9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3YzkxODg0YmE2ODFmYzM4MTMyZWNkOWY4ZTBjYjYifQ=="/>
  </w:docVars>
  <w:rsids>
    <w:rsidRoot w:val="CCFF8E41"/>
    <w:rsid w:val="00017233"/>
    <w:rsid w:val="00026E62"/>
    <w:rsid w:val="00033A13"/>
    <w:rsid w:val="000545AF"/>
    <w:rsid w:val="000576AA"/>
    <w:rsid w:val="000915BA"/>
    <w:rsid w:val="000A4EFB"/>
    <w:rsid w:val="000D1A16"/>
    <w:rsid w:val="000E2F73"/>
    <w:rsid w:val="00113CC9"/>
    <w:rsid w:val="00117386"/>
    <w:rsid w:val="00134DB7"/>
    <w:rsid w:val="00146FE9"/>
    <w:rsid w:val="0015412A"/>
    <w:rsid w:val="00155001"/>
    <w:rsid w:val="002445C9"/>
    <w:rsid w:val="0025412C"/>
    <w:rsid w:val="00284E96"/>
    <w:rsid w:val="002A38B2"/>
    <w:rsid w:val="002B0040"/>
    <w:rsid w:val="0035541C"/>
    <w:rsid w:val="00366A8C"/>
    <w:rsid w:val="003720A3"/>
    <w:rsid w:val="00392796"/>
    <w:rsid w:val="003A3DA7"/>
    <w:rsid w:val="003B6591"/>
    <w:rsid w:val="003B6D02"/>
    <w:rsid w:val="003D4F00"/>
    <w:rsid w:val="00402E30"/>
    <w:rsid w:val="00413312"/>
    <w:rsid w:val="00414788"/>
    <w:rsid w:val="0045230D"/>
    <w:rsid w:val="00487123"/>
    <w:rsid w:val="004906C4"/>
    <w:rsid w:val="004B0293"/>
    <w:rsid w:val="004B5D1F"/>
    <w:rsid w:val="00517425"/>
    <w:rsid w:val="00517C79"/>
    <w:rsid w:val="0053125A"/>
    <w:rsid w:val="0054511A"/>
    <w:rsid w:val="00594C06"/>
    <w:rsid w:val="00630EB0"/>
    <w:rsid w:val="00646176"/>
    <w:rsid w:val="0064651D"/>
    <w:rsid w:val="0066045C"/>
    <w:rsid w:val="006852A5"/>
    <w:rsid w:val="0069473E"/>
    <w:rsid w:val="006B548E"/>
    <w:rsid w:val="006C5702"/>
    <w:rsid w:val="006E4DC6"/>
    <w:rsid w:val="00706DFF"/>
    <w:rsid w:val="00746926"/>
    <w:rsid w:val="00755766"/>
    <w:rsid w:val="00755BE0"/>
    <w:rsid w:val="00781956"/>
    <w:rsid w:val="00794DD8"/>
    <w:rsid w:val="007A3FDD"/>
    <w:rsid w:val="007B57BC"/>
    <w:rsid w:val="007D20E6"/>
    <w:rsid w:val="0088421C"/>
    <w:rsid w:val="00892288"/>
    <w:rsid w:val="00921DC8"/>
    <w:rsid w:val="00940730"/>
    <w:rsid w:val="009552D0"/>
    <w:rsid w:val="00992BE9"/>
    <w:rsid w:val="009B10BA"/>
    <w:rsid w:val="009B6264"/>
    <w:rsid w:val="009C7575"/>
    <w:rsid w:val="00A671FB"/>
    <w:rsid w:val="00AA0C07"/>
    <w:rsid w:val="00AB3C75"/>
    <w:rsid w:val="00AB75C7"/>
    <w:rsid w:val="00B56137"/>
    <w:rsid w:val="00B6063A"/>
    <w:rsid w:val="00B90D4A"/>
    <w:rsid w:val="00B9620C"/>
    <w:rsid w:val="00BE0611"/>
    <w:rsid w:val="00C30332"/>
    <w:rsid w:val="00C310F6"/>
    <w:rsid w:val="00C42AA1"/>
    <w:rsid w:val="00C46512"/>
    <w:rsid w:val="00CA7B25"/>
    <w:rsid w:val="00CB020B"/>
    <w:rsid w:val="00CB76F6"/>
    <w:rsid w:val="00D04388"/>
    <w:rsid w:val="00D17013"/>
    <w:rsid w:val="00D35EF5"/>
    <w:rsid w:val="00D550C7"/>
    <w:rsid w:val="00D83306"/>
    <w:rsid w:val="00D83ADC"/>
    <w:rsid w:val="00DB79C6"/>
    <w:rsid w:val="00DD253B"/>
    <w:rsid w:val="00DD67C7"/>
    <w:rsid w:val="00E01139"/>
    <w:rsid w:val="00EA5C50"/>
    <w:rsid w:val="00F14A2A"/>
    <w:rsid w:val="00F27FE5"/>
    <w:rsid w:val="00F55B44"/>
    <w:rsid w:val="00F77D3D"/>
    <w:rsid w:val="00F80FC1"/>
    <w:rsid w:val="00F81789"/>
    <w:rsid w:val="00F967EE"/>
    <w:rsid w:val="00F9724C"/>
    <w:rsid w:val="00FC2664"/>
    <w:rsid w:val="00FE7F39"/>
    <w:rsid w:val="01C403FC"/>
    <w:rsid w:val="02D13AA8"/>
    <w:rsid w:val="06494230"/>
    <w:rsid w:val="0B247F12"/>
    <w:rsid w:val="0C0F0642"/>
    <w:rsid w:val="0C233266"/>
    <w:rsid w:val="15732C83"/>
    <w:rsid w:val="17F7788B"/>
    <w:rsid w:val="1A893CD4"/>
    <w:rsid w:val="1AF66908"/>
    <w:rsid w:val="21316710"/>
    <w:rsid w:val="21EB477C"/>
    <w:rsid w:val="27744E56"/>
    <w:rsid w:val="2A2E4D20"/>
    <w:rsid w:val="2A6227AB"/>
    <w:rsid w:val="2B1144D8"/>
    <w:rsid w:val="2C4B14B4"/>
    <w:rsid w:val="2EB80FBF"/>
    <w:rsid w:val="31272053"/>
    <w:rsid w:val="36502E7E"/>
    <w:rsid w:val="37FC7C58"/>
    <w:rsid w:val="3ABF0799"/>
    <w:rsid w:val="3E69364E"/>
    <w:rsid w:val="3F5F4FF7"/>
    <w:rsid w:val="4B1936C2"/>
    <w:rsid w:val="4F916E36"/>
    <w:rsid w:val="59590A7F"/>
    <w:rsid w:val="5AF0176D"/>
    <w:rsid w:val="5FDF9D25"/>
    <w:rsid w:val="6AEA77A0"/>
    <w:rsid w:val="6AF827CC"/>
    <w:rsid w:val="6F7540DD"/>
    <w:rsid w:val="6F9B5F36"/>
    <w:rsid w:val="725F3101"/>
    <w:rsid w:val="7262642B"/>
    <w:rsid w:val="78AE7934"/>
    <w:rsid w:val="79901A65"/>
    <w:rsid w:val="7DDF84BA"/>
    <w:rsid w:val="7EA429DF"/>
    <w:rsid w:val="7F726DF2"/>
    <w:rsid w:val="7F9B7D6E"/>
    <w:rsid w:val="7FF65C39"/>
    <w:rsid w:val="B57639E9"/>
    <w:rsid w:val="B7DFD28A"/>
    <w:rsid w:val="CCFF8E41"/>
    <w:rsid w:val="F7FB0F6A"/>
    <w:rsid w:val="FB0FB09A"/>
    <w:rsid w:val="FB7F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1605</Words>
  <Characters>9154</Characters>
  <Lines>76</Lines>
  <Paragraphs>21</Paragraphs>
  <TotalTime>1</TotalTime>
  <ScaleCrop>false</ScaleCrop>
  <LinksUpToDate>false</LinksUpToDate>
  <CharactersWithSpaces>10738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2023-05-22T01:23:00Z</dcterms:created>
  <dc:creator>yyadmin</dc:creator>
  <cp:lastModifiedBy>袁思丝</cp:lastModifiedBy>
  <cp:lastPrinted>2023-07-04T06:46:00Z</cp:lastPrinted>
  <dcterms:modified xsi:type="dcterms:W3CDTF">2023-10-25T02:51:13Z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40EFD5E6069B4C8FBB269AB9E3C74ED6</vt:lpwstr>
  </property>
</Properties>
</file>